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219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val="en-IN" w:eastAsia="en-IN"/>
              </w:rPr>
              <w:drawing>
                <wp:inline distT="0" distB="0" distL="0" distR="0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4"/>
        <w:gridCol w:w="4272"/>
        <w:gridCol w:w="1436"/>
        <w:gridCol w:w="1539"/>
        <w:gridCol w:w="1524"/>
      </w:tblGrid>
      <w:tr w:rsidR="00150FF3" w:rsidRPr="000E7F94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:rsidTr="0001482B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40A6" w:rsidRPr="0001482B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2B">
              <w:rPr>
                <w:rFonts w:ascii="Arial" w:hAnsi="Arial" w:cs="Arial"/>
                <w:sz w:val="20"/>
                <w:szCs w:val="20"/>
              </w:rPr>
              <w:t>2020</w:t>
            </w:r>
            <w:r w:rsidR="004640A6" w:rsidRPr="000148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1324A7" w:rsidRDefault="00B66213" w:rsidP="00A542C1">
            <w:pPr>
              <w:pStyle w:val="NormalWeb"/>
              <w:spacing w:before="0" w:beforeAutospacing="0" w:after="0" w:afterAutospacing="0"/>
              <w:jc w:val="center"/>
              <w:rPr>
                <w:highlight w:val="yellow"/>
              </w:rPr>
            </w:pPr>
            <w:r w:rsidRPr="0001482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(</w:t>
            </w:r>
            <w:r w:rsidR="00A542C1" w:rsidRPr="0001482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June</w:t>
            </w:r>
            <w:r w:rsidR="004640A6" w:rsidRPr="0001482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1482B" w:rsidRDefault="009C6197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10414</w:t>
            </w:r>
          </w:p>
          <w:p w:rsidR="001215B2" w:rsidRPr="001324A7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highlight w:val="yellow"/>
              </w:rPr>
            </w:pP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:rsidR="0086770D" w:rsidRPr="000E7F94" w:rsidRDefault="0086770D" w:rsidP="004439FB"/>
    <w:p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:rsidR="009B24B8" w:rsidRPr="000E7F94" w:rsidRDefault="009B24B8" w:rsidP="004439FB">
      <w:pPr>
        <w:rPr>
          <w:rFonts w:ascii="Arial" w:hAnsi="Arial" w:cs="Arial"/>
          <w:b/>
          <w:bCs/>
          <w:u w:val="single"/>
        </w:rPr>
      </w:pPr>
    </w:p>
    <w:p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:rsidR="004F4B44" w:rsidRPr="000E7F94" w:rsidRDefault="004F4B44" w:rsidP="004439FB">
      <w:pPr>
        <w:rPr>
          <w:rFonts w:ascii="Arial" w:hAnsi="Arial" w:cs="Arial"/>
          <w:b/>
          <w:bCs/>
          <w:u w:val="single"/>
        </w:rPr>
      </w:pPr>
    </w:p>
    <w:p w:rsidR="00732112" w:rsidRPr="000E7F94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tbl>
      <w:tblPr>
        <w:tblW w:w="9586" w:type="dxa"/>
        <w:tblInd w:w="93" w:type="dxa"/>
        <w:tblLayout w:type="fixed"/>
        <w:tblLook w:val="04A0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10"/>
        <w:gridCol w:w="236"/>
      </w:tblGrid>
      <w:tr w:rsidR="00A857C6" w:rsidRPr="000E7F94" w:rsidTr="00137D48">
        <w:trPr>
          <w:trHeight w:val="3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:rsidTr="00137D48">
        <w:trPr>
          <w:trHeight w:val="21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139579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139086</w:t>
            </w:r>
          </w:p>
        </w:tc>
      </w:tr>
      <w:tr w:rsidR="00A857C6" w:rsidRPr="000E7F94" w:rsidTr="00137D48">
        <w:trPr>
          <w:trHeight w:val="32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3198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3134</w:t>
            </w:r>
          </w:p>
        </w:tc>
      </w:tr>
      <w:tr w:rsidR="00A857C6" w:rsidRPr="000E7F94" w:rsidTr="00137D48">
        <w:trPr>
          <w:trHeight w:val="52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06346B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116013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115557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13530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13814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68382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68395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57759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57394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27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117685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114522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126716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122710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165449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160111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41769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40297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51835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51036</w:t>
            </w:r>
          </w:p>
        </w:tc>
      </w:tr>
      <w:tr w:rsidR="00A857C6" w:rsidRPr="000E7F94" w:rsidTr="00137D48">
        <w:trPr>
          <w:trHeight w:hRule="exact"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24989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      24050</w:t>
            </w:r>
          </w:p>
          <w:p w:rsidR="00A857C6" w:rsidRPr="00137D48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  <w:p w:rsidR="00A857C6" w:rsidRPr="00137D48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137D48">
        <w:trPr>
          <w:trHeight w:hRule="exact" w:val="2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70795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69176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56420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55345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272460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266278</w:t>
            </w:r>
          </w:p>
        </w:tc>
      </w:tr>
      <w:tr w:rsidR="00A857C6" w:rsidRPr="000E7F94" w:rsidTr="00137D48">
        <w:trPr>
          <w:trHeight w:val="4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76520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75323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8736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8833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946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9377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9458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89273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89415</w:t>
            </w:r>
          </w:p>
        </w:tc>
      </w:tr>
      <w:tr w:rsidR="00A857C6" w:rsidRPr="000E7F94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92094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89944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37902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37219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11692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11672</w:t>
            </w:r>
          </w:p>
        </w:tc>
      </w:tr>
      <w:tr w:rsidR="00A857C6" w:rsidRPr="000E7F94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165634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165373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4119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133550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133822</w:t>
            </w:r>
          </w:p>
        </w:tc>
      </w:tr>
      <w:tr w:rsidR="00A857C6" w:rsidRPr="000E7F94" w:rsidTr="000E7F94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sz w:val="16"/>
                <w:szCs w:val="16"/>
                <w:lang w:val="en-IN" w:eastAsia="en-IN"/>
              </w:rPr>
            </w:pPr>
            <w:r w:rsidRPr="00137D48">
              <w:rPr>
                <w:sz w:val="16"/>
                <w:szCs w:val="16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1957005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1927366</w:t>
            </w:r>
          </w:p>
        </w:tc>
      </w:tr>
      <w:tr w:rsidR="00FF6457" w:rsidRPr="000E7F94" w:rsidTr="00137D48">
        <w:trPr>
          <w:trHeight w:val="300"/>
        </w:trPr>
        <w:tc>
          <w:tcPr>
            <w:tcW w:w="93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:rsidTr="00137D48">
        <w:trPr>
          <w:trHeight w:val="600"/>
        </w:trPr>
        <w:tc>
          <w:tcPr>
            <w:tcW w:w="93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:rsidR="00A91EA8" w:rsidRPr="000E7F94" w:rsidRDefault="00780A04" w:rsidP="00780A04">
      <w:r w:rsidRPr="000E7F94">
        <w:t xml:space="preserve">                                                              </w:t>
      </w:r>
    </w:p>
    <w:p w:rsidR="00BC2DEA" w:rsidRPr="000E7F94" w:rsidRDefault="00BC2DEA" w:rsidP="00C854C0">
      <w:pPr>
        <w:ind w:left="2880" w:firstLine="720"/>
      </w:pPr>
    </w:p>
    <w:p w:rsidR="00746AF9" w:rsidRPr="000E7F94" w:rsidRDefault="00746AF9" w:rsidP="00BC2DEA">
      <w:r w:rsidRPr="000E7F94">
        <w:lastRenderedPageBreak/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34769B">
        <w:rPr>
          <w:b/>
          <w:bCs/>
        </w:rPr>
        <w:t>30.06</w:t>
      </w:r>
      <w:r w:rsidR="00137D48" w:rsidRPr="003C141C">
        <w:rPr>
          <w:b/>
          <w:bCs/>
        </w:rPr>
        <w:t>.2020</w:t>
      </w:r>
    </w:p>
    <w:p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2835"/>
        <w:gridCol w:w="2724"/>
      </w:tblGrid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724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:rsidR="00746AF9" w:rsidRPr="001278CC" w:rsidRDefault="008D7F34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1278CC"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3C141C" w:rsidRPr="001278CC">
              <w:rPr>
                <w:rFonts w:ascii="Century Gothic" w:hAnsi="Century Gothic"/>
                <w:b/>
                <w:bCs/>
                <w:szCs w:val="18"/>
              </w:rPr>
              <w:t>1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CREDIT + INV. : DEPOSIT RATIO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:rsidR="00746AF9" w:rsidRPr="001278CC" w:rsidRDefault="008523AA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1278CC">
              <w:rPr>
                <w:rFonts w:ascii="Century Gothic" w:hAnsi="Century Gothic"/>
                <w:b/>
                <w:bCs/>
                <w:szCs w:val="18"/>
              </w:rPr>
              <w:t>6</w:t>
            </w:r>
            <w:r w:rsidR="001278CC" w:rsidRPr="001278CC">
              <w:rPr>
                <w:rFonts w:ascii="Century Gothic" w:hAnsi="Century Gothic"/>
                <w:b/>
                <w:bCs/>
                <w:szCs w:val="18"/>
              </w:rPr>
              <w:t>1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PRI. SECTOR  ADV. TO TOTAL ADV.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</w:tcPr>
          <w:p w:rsidR="00746AF9" w:rsidRPr="001278CC" w:rsidRDefault="009830FC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56</w:t>
            </w:r>
            <w:r w:rsidR="00E5695B" w:rsidRPr="001278CC">
              <w:rPr>
                <w:rFonts w:ascii="Century Gothic" w:hAnsi="Century Gothic"/>
                <w:b/>
                <w:bCs/>
                <w:szCs w:val="18"/>
              </w:rPr>
              <w:t xml:space="preserve">     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 TO TOTAL ADV.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</w:tcPr>
          <w:p w:rsidR="00746AF9" w:rsidRPr="001278CC" w:rsidRDefault="001278CC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1278CC">
              <w:rPr>
                <w:rFonts w:ascii="Century Gothic" w:hAnsi="Century Gothic"/>
                <w:b/>
                <w:bCs/>
                <w:szCs w:val="18"/>
              </w:rPr>
              <w:t>21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</w:tcPr>
          <w:p w:rsidR="00AD080D" w:rsidRPr="001278CC" w:rsidRDefault="001278CC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1278CC">
              <w:rPr>
                <w:rFonts w:ascii="Century Gothic" w:hAnsi="Century Gothic"/>
                <w:b/>
                <w:bCs/>
                <w:szCs w:val="18"/>
              </w:rPr>
              <w:t>16</w:t>
            </w:r>
          </w:p>
        </w:tc>
      </w:tr>
    </w:tbl>
    <w:p w:rsidR="00746AF9" w:rsidRPr="000E7F94" w:rsidRDefault="00746AF9" w:rsidP="00746AF9">
      <w:pPr>
        <w:jc w:val="both"/>
      </w:pPr>
      <w:r w:rsidRPr="000E7F94">
        <w:t xml:space="preserve"> </w:t>
      </w:r>
    </w:p>
    <w:p w:rsidR="00746AF9" w:rsidRPr="000E7F94" w:rsidRDefault="00746AF9" w:rsidP="00746AF9">
      <w:pPr>
        <w:jc w:val="both"/>
      </w:pPr>
    </w:p>
    <w:p w:rsidR="00163F04" w:rsidRPr="000E7F94" w:rsidRDefault="00163F04" w:rsidP="00746AF9">
      <w:pPr>
        <w:jc w:val="both"/>
      </w:pPr>
    </w:p>
    <w:p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5771"/>
      </w:tblGrid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163F04" w:rsidRPr="00A15003">
              <w:rPr>
                <w:b/>
                <w:sz w:val="20"/>
              </w:rPr>
              <w:t>Districts ( Baksa, Bongaigaon,</w:t>
            </w:r>
            <w:r w:rsidR="00163F04" w:rsidRPr="00A15003">
              <w:rPr>
                <w:b/>
                <w:sz w:val="20"/>
              </w:rPr>
              <w:tab/>
              <w:t xml:space="preserve"> Chirang, Dima Hasao, Karbi Anglong</w:t>
            </w:r>
            <w:r w:rsidRPr="00A15003">
              <w:rPr>
                <w:b/>
                <w:sz w:val="20"/>
              </w:rPr>
              <w:t xml:space="preserve">, West Karbi Anglong </w:t>
            </w:r>
            <w:r w:rsidR="00163F04" w:rsidRPr="00A15003">
              <w:rPr>
                <w:b/>
                <w:sz w:val="20"/>
              </w:rPr>
              <w:t xml:space="preserve"> and Udalguri)</w:t>
            </w:r>
          </w:p>
        </w:tc>
      </w:tr>
      <w:tr w:rsidR="00163F04" w:rsidRPr="000E7F94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United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163F04" w:rsidRPr="00A15003">
              <w:rPr>
                <w:b/>
                <w:sz w:val="20"/>
              </w:rPr>
              <w:t xml:space="preserve"> Districts ( Cachar, Dhemaji, Dibrugarh, Golaghat, Hailakandi, Jorhat, Karimganj, Lakhimpur, Morigaon, Nagaon,</w:t>
            </w:r>
            <w:r w:rsidRPr="00A15003">
              <w:rPr>
                <w:b/>
                <w:sz w:val="20"/>
              </w:rPr>
              <w:t xml:space="preserve"> Hojai,</w:t>
            </w:r>
            <w:r w:rsidR="00163F04" w:rsidRPr="00A15003">
              <w:rPr>
                <w:b/>
                <w:sz w:val="20"/>
              </w:rPr>
              <w:t xml:space="preserve"> Si</w:t>
            </w:r>
            <w:r w:rsidRPr="00A15003">
              <w:rPr>
                <w:b/>
                <w:sz w:val="20"/>
              </w:rPr>
              <w:t>va</w:t>
            </w:r>
            <w:r w:rsidR="00163F04" w:rsidRPr="00A15003">
              <w:rPr>
                <w:b/>
                <w:sz w:val="20"/>
              </w:rPr>
              <w:t>agar</w:t>
            </w:r>
            <w:r w:rsidRPr="00A15003">
              <w:rPr>
                <w:b/>
                <w:sz w:val="20"/>
              </w:rPr>
              <w:t>, Charaideo</w:t>
            </w:r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Majuli</w:t>
            </w:r>
            <w:r w:rsidR="00163F04" w:rsidRPr="00A15003">
              <w:rPr>
                <w:b/>
                <w:sz w:val="20"/>
              </w:rPr>
              <w:t xml:space="preserve"> </w:t>
            </w:r>
            <w:r w:rsidR="004F796B" w:rsidRPr="00A15003">
              <w:rPr>
                <w:b/>
                <w:sz w:val="20"/>
              </w:rPr>
              <w:t>and Biswanath</w:t>
            </w:r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F52283" w:rsidRPr="00A15003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 xml:space="preserve">Districts (Barpeta, </w:t>
            </w:r>
            <w:r w:rsidR="00163F04" w:rsidRPr="00A15003">
              <w:rPr>
                <w:b/>
                <w:sz w:val="20"/>
              </w:rPr>
              <w:t>Darrang, Dhubri,</w:t>
            </w:r>
            <w:r w:rsidR="00D83FCF" w:rsidRPr="00A15003">
              <w:rPr>
                <w:b/>
                <w:sz w:val="20"/>
              </w:rPr>
              <w:t xml:space="preserve"> South 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achar,</w:t>
            </w:r>
            <w:r w:rsidRPr="00A15003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Goalpara</w:t>
            </w:r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Kamrup(</w:t>
            </w:r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</w:t>
            </w:r>
            <w:r w:rsidR="007B5EF5"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 xml:space="preserve"> Ka</w:t>
            </w:r>
            <w:r w:rsidRPr="00A15003">
              <w:rPr>
                <w:b/>
                <w:sz w:val="20"/>
              </w:rPr>
              <w:t>mrup(Metro), Kokrajhar, Nalbari and</w:t>
            </w:r>
            <w:r w:rsidR="00163F04" w:rsidRPr="00A15003">
              <w:rPr>
                <w:b/>
                <w:sz w:val="20"/>
              </w:rPr>
              <w:t xml:space="preserve"> Sonitpur)</w:t>
            </w:r>
          </w:p>
        </w:tc>
      </w:tr>
    </w:tbl>
    <w:p w:rsidR="00163F04" w:rsidRPr="000E7F94" w:rsidRDefault="00163F04" w:rsidP="00163F04">
      <w:pPr>
        <w:jc w:val="center"/>
        <w:rPr>
          <w:b/>
          <w:sz w:val="28"/>
          <w:szCs w:val="28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724"/>
      </w:tblGrid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9C6197" w:rsidP="000869E5">
            <w:pPr>
              <w:jc w:val="right"/>
              <w:rPr>
                <w:b/>
              </w:rPr>
            </w:pPr>
            <w:r>
              <w:rPr>
                <w:b/>
              </w:rPr>
              <w:t>2993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1278CC" w:rsidP="000869E5">
            <w:pPr>
              <w:jc w:val="right"/>
              <w:rPr>
                <w:b/>
              </w:rPr>
            </w:pPr>
            <w:r>
              <w:rPr>
                <w:b/>
              </w:rPr>
              <w:t>9897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C7485F" w:rsidP="001278CC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1278CC">
              <w:rPr>
                <w:b/>
              </w:rPr>
              <w:t>325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:rsidTr="00BC5CFE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0336" w:rsidRPr="008523AA" w:rsidRDefault="009C6197" w:rsidP="009C6197">
            <w:pPr>
              <w:jc w:val="right"/>
              <w:rPr>
                <w:b/>
              </w:rPr>
            </w:pPr>
            <w:r>
              <w:rPr>
                <w:b/>
              </w:rPr>
              <w:t>10414</w:t>
            </w:r>
          </w:p>
        </w:tc>
      </w:tr>
    </w:tbl>
    <w:p w:rsidR="00163F04" w:rsidRPr="000E7F94" w:rsidRDefault="00163F04" w:rsidP="00746AF9">
      <w:pPr>
        <w:jc w:val="both"/>
      </w:pPr>
    </w:p>
    <w:p w:rsidR="00163F04" w:rsidRPr="000E7F94" w:rsidRDefault="00163F04" w:rsidP="00746AF9">
      <w:pPr>
        <w:jc w:val="both"/>
      </w:pPr>
    </w:p>
    <w:p w:rsidR="00F43242" w:rsidRDefault="00F43242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510336" w:rsidRDefault="00510336" w:rsidP="00F43242">
      <w:pPr>
        <w:jc w:val="center"/>
        <w:rPr>
          <w:rFonts w:ascii="Verdana" w:hAnsi="Verdana"/>
          <w:b/>
        </w:rPr>
      </w:pPr>
    </w:p>
    <w:p w:rsidR="009B24B8" w:rsidRPr="000E7F94" w:rsidRDefault="009B24B8" w:rsidP="00F43242">
      <w:pPr>
        <w:jc w:val="center"/>
        <w:rPr>
          <w:rFonts w:ascii="Verdana" w:hAnsi="Verdana"/>
          <w:b/>
        </w:rPr>
      </w:pPr>
    </w:p>
    <w:p w:rsidR="000E7F94" w:rsidRDefault="000E7F94" w:rsidP="00F43242">
      <w:pPr>
        <w:jc w:val="center"/>
        <w:rPr>
          <w:rFonts w:ascii="Verdana" w:hAnsi="Verdana"/>
          <w:b/>
        </w:rPr>
      </w:pP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Pr="000E7F94">
        <w:rPr>
          <w:rFonts w:ascii="Verdana" w:hAnsi="Verdana"/>
          <w:b/>
          <w:sz w:val="20"/>
          <w:szCs w:val="20"/>
        </w:rPr>
        <w:t>Rs. in Crs.)</w:t>
      </w:r>
    </w:p>
    <w:p w:rsidR="00F43242" w:rsidRPr="000E7F94" w:rsidRDefault="00F43242" w:rsidP="00746AF9">
      <w:pPr>
        <w:jc w:val="both"/>
      </w:pPr>
    </w:p>
    <w:p w:rsidR="00984FDD" w:rsidRPr="000E7F94" w:rsidRDefault="00F43242" w:rsidP="00746AF9">
      <w:pPr>
        <w:jc w:val="both"/>
      </w:pPr>
      <w:r w:rsidRPr="000E7F94">
        <w:rPr>
          <w:noProof/>
          <w:lang w:val="en-IN" w:eastAsia="en-IN"/>
        </w:rPr>
        <w:drawing>
          <wp:inline distT="0" distB="0" distL="0" distR="0">
            <wp:extent cx="5762625" cy="4391025"/>
            <wp:effectExtent l="1905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3A9D" w:rsidRPr="000E7F94" w:rsidRDefault="00633A9D" w:rsidP="00746AF9">
      <w:pPr>
        <w:jc w:val="both"/>
      </w:pPr>
    </w:p>
    <w:p w:rsidR="00633A9D" w:rsidRPr="000E7F94" w:rsidRDefault="00971F68" w:rsidP="00633A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Level of Agricultural</w:t>
      </w:r>
      <w:r w:rsidR="00633A9D" w:rsidRPr="000E7F94">
        <w:rPr>
          <w:rFonts w:ascii="Verdana" w:hAnsi="Verdana"/>
          <w:b/>
        </w:rPr>
        <w:t xml:space="preserve"> Advances </w:t>
      </w:r>
      <w:r w:rsidR="009B24B8">
        <w:rPr>
          <w:rFonts w:ascii="Verdana" w:hAnsi="Verdana"/>
          <w:b/>
        </w:rPr>
        <w:t>in</w:t>
      </w:r>
      <w:r w:rsidR="00633A9D" w:rsidRPr="000E7F94">
        <w:rPr>
          <w:rFonts w:ascii="Verdana" w:hAnsi="Verdana"/>
          <w:b/>
        </w:rPr>
        <w:t xml:space="preserve"> last four years </w:t>
      </w:r>
    </w:p>
    <w:p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(Rs. in Crs.)</w:t>
      </w:r>
    </w:p>
    <w:p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:rsidR="00633A9D" w:rsidRPr="000E7F94" w:rsidRDefault="00633A9D" w:rsidP="00746AF9">
      <w:pPr>
        <w:jc w:val="both"/>
      </w:pPr>
      <w:r w:rsidRPr="000E7F94">
        <w:rPr>
          <w:noProof/>
          <w:lang w:val="en-IN" w:eastAsia="en-IN"/>
        </w:rPr>
        <w:drawing>
          <wp:inline distT="0" distB="0" distL="0" distR="0">
            <wp:extent cx="5876059" cy="3102148"/>
            <wp:effectExtent l="19050" t="0" r="10391" b="3002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2F1" w:rsidRDefault="000972F1" w:rsidP="00780A04">
      <w:r>
        <w:separator/>
      </w:r>
    </w:p>
  </w:endnote>
  <w:endnote w:type="continuationSeparator" w:id="1">
    <w:p w:rsidR="000972F1" w:rsidRDefault="000972F1" w:rsidP="0078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2F1" w:rsidRDefault="000972F1" w:rsidP="00780A04">
      <w:r>
        <w:separator/>
      </w:r>
    </w:p>
  </w:footnote>
  <w:footnote w:type="continuationSeparator" w:id="1">
    <w:p w:rsidR="000972F1" w:rsidRDefault="000972F1" w:rsidP="00780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FF3"/>
    <w:rsid w:val="000103C4"/>
    <w:rsid w:val="0001482B"/>
    <w:rsid w:val="00023CAD"/>
    <w:rsid w:val="00032A20"/>
    <w:rsid w:val="00032E8A"/>
    <w:rsid w:val="0004128A"/>
    <w:rsid w:val="000461F0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7D48"/>
    <w:rsid w:val="001427CD"/>
    <w:rsid w:val="00143842"/>
    <w:rsid w:val="00146B4E"/>
    <w:rsid w:val="00150FF3"/>
    <w:rsid w:val="001541E2"/>
    <w:rsid w:val="001578BD"/>
    <w:rsid w:val="00160461"/>
    <w:rsid w:val="00163F04"/>
    <w:rsid w:val="00167419"/>
    <w:rsid w:val="0017133D"/>
    <w:rsid w:val="00176E2B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5173"/>
    <w:rsid w:val="001F16E6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4"/>
    <w:rsid w:val="002B17C9"/>
    <w:rsid w:val="002B4EE9"/>
    <w:rsid w:val="002C1539"/>
    <w:rsid w:val="002D369A"/>
    <w:rsid w:val="002E75BB"/>
    <w:rsid w:val="002F6367"/>
    <w:rsid w:val="00301D94"/>
    <w:rsid w:val="003027D4"/>
    <w:rsid w:val="003151BA"/>
    <w:rsid w:val="00315D90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A5337"/>
    <w:rsid w:val="003B33B0"/>
    <w:rsid w:val="003C141C"/>
    <w:rsid w:val="003C3D0A"/>
    <w:rsid w:val="003C3E9C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2743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1CF9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32E1"/>
    <w:rsid w:val="00553518"/>
    <w:rsid w:val="00553739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4C9A"/>
    <w:rsid w:val="00616744"/>
    <w:rsid w:val="0061706E"/>
    <w:rsid w:val="00617959"/>
    <w:rsid w:val="00621748"/>
    <w:rsid w:val="00621CCD"/>
    <w:rsid w:val="00625FB3"/>
    <w:rsid w:val="00627075"/>
    <w:rsid w:val="00633A9D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E32B1"/>
    <w:rsid w:val="007E684D"/>
    <w:rsid w:val="007F461E"/>
    <w:rsid w:val="00800983"/>
    <w:rsid w:val="0080600A"/>
    <w:rsid w:val="0080604B"/>
    <w:rsid w:val="00810246"/>
    <w:rsid w:val="00831C4D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1F68"/>
    <w:rsid w:val="00972696"/>
    <w:rsid w:val="00977EF3"/>
    <w:rsid w:val="009830FC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C6197"/>
    <w:rsid w:val="009E1798"/>
    <w:rsid w:val="009E667B"/>
    <w:rsid w:val="009E68C8"/>
    <w:rsid w:val="009F3978"/>
    <w:rsid w:val="00A047FF"/>
    <w:rsid w:val="00A07645"/>
    <w:rsid w:val="00A10202"/>
    <w:rsid w:val="00A15003"/>
    <w:rsid w:val="00A2185E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35B0"/>
    <w:rsid w:val="00AF64BC"/>
    <w:rsid w:val="00AF6BC4"/>
    <w:rsid w:val="00B011D5"/>
    <w:rsid w:val="00B07B50"/>
    <w:rsid w:val="00B1058F"/>
    <w:rsid w:val="00B1193E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6F2C"/>
    <w:rsid w:val="00B83D37"/>
    <w:rsid w:val="00B90E15"/>
    <w:rsid w:val="00B94D50"/>
    <w:rsid w:val="00B94F2C"/>
    <w:rsid w:val="00BA48B1"/>
    <w:rsid w:val="00BA5AF7"/>
    <w:rsid w:val="00BC2DEA"/>
    <w:rsid w:val="00BC5CFE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68A3"/>
    <w:rsid w:val="00C311A9"/>
    <w:rsid w:val="00C31589"/>
    <w:rsid w:val="00C4242A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C3706"/>
    <w:rsid w:val="00CD6211"/>
    <w:rsid w:val="00CD7619"/>
    <w:rsid w:val="00CE04C4"/>
    <w:rsid w:val="00CE4642"/>
    <w:rsid w:val="00CF1C1F"/>
    <w:rsid w:val="00CF22A6"/>
    <w:rsid w:val="00D0513D"/>
    <w:rsid w:val="00D07221"/>
    <w:rsid w:val="00D1775A"/>
    <w:rsid w:val="00D236FE"/>
    <w:rsid w:val="00D33994"/>
    <w:rsid w:val="00D36F09"/>
    <w:rsid w:val="00D424CD"/>
    <w:rsid w:val="00D432E2"/>
    <w:rsid w:val="00D53BD1"/>
    <w:rsid w:val="00D63D7A"/>
    <w:rsid w:val="00D67D38"/>
    <w:rsid w:val="00D758D3"/>
    <w:rsid w:val="00D7756C"/>
    <w:rsid w:val="00D82DB4"/>
    <w:rsid w:val="00D83FCF"/>
    <w:rsid w:val="00D91EC0"/>
    <w:rsid w:val="00DA47EA"/>
    <w:rsid w:val="00DA7105"/>
    <w:rsid w:val="00DA7B5F"/>
    <w:rsid w:val="00DB0C3D"/>
    <w:rsid w:val="00DB4ED7"/>
    <w:rsid w:val="00DC635F"/>
    <w:rsid w:val="00DD0024"/>
    <w:rsid w:val="00DD2D61"/>
    <w:rsid w:val="00DD6708"/>
    <w:rsid w:val="00DE2FF4"/>
    <w:rsid w:val="00DF6458"/>
    <w:rsid w:val="00E05169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6F42"/>
    <w:rsid w:val="00EA20DB"/>
    <w:rsid w:val="00EA383A"/>
    <w:rsid w:val="00EA6C28"/>
    <w:rsid w:val="00EB109A"/>
    <w:rsid w:val="00EB198B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1693D"/>
    <w:rsid w:val="00F26EFA"/>
    <w:rsid w:val="00F43242"/>
    <w:rsid w:val="00F52283"/>
    <w:rsid w:val="00F619D4"/>
    <w:rsid w:val="00F63499"/>
    <w:rsid w:val="00F65DD4"/>
    <w:rsid w:val="00F712B9"/>
    <w:rsid w:val="00F737FA"/>
    <w:rsid w:val="00F75CF4"/>
    <w:rsid w:val="00F86E24"/>
    <w:rsid w:val="00FA3996"/>
    <w:rsid w:val="00FC10FD"/>
    <w:rsid w:val="00FC6BE7"/>
    <w:rsid w:val="00FC6D02"/>
    <w:rsid w:val="00FD5D39"/>
    <w:rsid w:val="00FD5F1A"/>
    <w:rsid w:val="00FF2126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N"/>
  <c:chart>
    <c:plotArea>
      <c:layout>
        <c:manualLayout>
          <c:layoutTarget val="inner"/>
          <c:xMode val="edge"/>
          <c:yMode val="edge"/>
          <c:x val="0.1063369558144075"/>
          <c:y val="3.5003672263310096E-2"/>
          <c:w val="0.86018628663152663"/>
          <c:h val="0.85659179804260011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4.2665278410446705E-2"/>
                  <c:y val="3.0221873025091005E-2"/>
                </c:manualLayout>
              </c:layout>
              <c:tx>
                <c:rich>
                  <a:bodyPr/>
                  <a:lstStyle/>
                  <a:p>
                    <a:r>
                      <a:t>134698.28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6.9444444444447112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148430.29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1.3888888888889435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t>162857.05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1.3223140495868141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170318.66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30.06.2020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134698.28</c:v>
                </c:pt>
                <c:pt idx="1">
                  <c:v>148430.29</c:v>
                </c:pt>
                <c:pt idx="2">
                  <c:v>162857.04999999999</c:v>
                </c:pt>
                <c:pt idx="3">
                  <c:v>170318.66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978E-2"/>
                </c:manualLayout>
              </c:layout>
              <c:tx>
                <c:rich>
                  <a:bodyPr/>
                  <a:lstStyle/>
                  <a:p>
                    <a:r>
                      <a:t>67937.84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77339.94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2.3148148148148147E-3"/>
                  <c:y val="4.3993231810493513E-2"/>
                </c:manualLayout>
              </c:layout>
              <c:tx>
                <c:rich>
                  <a:bodyPr/>
                  <a:lstStyle/>
                  <a:p>
                    <a:r>
                      <a:t>82589.56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8.815426997245213E-3"/>
                  <c:y val="5.7845263919016759E-3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87480.63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30.06.2020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67937.84</c:v>
                </c:pt>
                <c:pt idx="1">
                  <c:v>77339.939999999988</c:v>
                </c:pt>
                <c:pt idx="2">
                  <c:v>82589.56</c:v>
                </c:pt>
                <c:pt idx="3">
                  <c:v>87480.63</c:v>
                </c:pt>
              </c:numCache>
            </c:numRef>
          </c:val>
        </c:ser>
        <c:marker val="1"/>
        <c:axId val="131942656"/>
        <c:axId val="132644864"/>
      </c:lineChart>
      <c:catAx>
        <c:axId val="1319426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2644864"/>
        <c:crosses val="autoZero"/>
        <c:auto val="1"/>
        <c:lblAlgn val="ctr"/>
        <c:lblOffset val="100"/>
      </c:catAx>
      <c:valAx>
        <c:axId val="1326448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1942656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5085"/>
          <c:w val="0.17347667078805232"/>
          <c:h val="0.1046010897227868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N"/>
  <c:chart>
    <c:title>
      <c:txPr>
        <a:bodyPr/>
        <a:lstStyle/>
        <a:p>
          <a:pPr>
            <a:defRPr lang="en-US"/>
          </a:pPr>
          <a:endParaRPr lang="en-US"/>
        </a:p>
      </c:txPr>
    </c:title>
    <c:plotArea>
      <c:layout>
        <c:manualLayout>
          <c:layoutTarget val="inner"/>
          <c:xMode val="edge"/>
          <c:yMode val="edge"/>
          <c:x val="0.10700132362972695"/>
          <c:y val="4.1319098916317014E-2"/>
          <c:w val="0.85708358744313584"/>
          <c:h val="0.82174484324430386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49E-2"/>
                </c:manualLayout>
              </c:layout>
              <c:showVal val="1"/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b="0"/>
                      <a:t>17565.65</a:t>
                    </a:r>
                  </a:p>
                </c:rich>
              </c:tx>
              <c:showVal val="1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30.06.2020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14702.52</c:v>
                </c:pt>
                <c:pt idx="1">
                  <c:v>16328.54</c:v>
                </c:pt>
                <c:pt idx="2">
                  <c:v>17565.649999999976</c:v>
                </c:pt>
                <c:pt idx="3">
                  <c:v>17956.29</c:v>
                </c:pt>
              </c:numCache>
            </c:numRef>
          </c:val>
        </c:ser>
        <c:marker val="1"/>
        <c:axId val="107893888"/>
        <c:axId val="107895424"/>
      </c:lineChart>
      <c:catAx>
        <c:axId val="1078938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5424"/>
        <c:crosses val="autoZero"/>
        <c:auto val="1"/>
        <c:lblAlgn val="ctr"/>
        <c:lblOffset val="100"/>
      </c:catAx>
      <c:valAx>
        <c:axId val="1078954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3888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84704532415376099"/>
          <c:y val="0.70023927990596257"/>
          <c:w val="0.1506597819850832"/>
          <c:h val="7.3958745954301783E-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0.77117</cdr:x>
      <cdr:y>0.07067</cdr:y>
    </cdr:from>
    <cdr:to>
      <cdr:x>0.9245</cdr:x>
      <cdr:y>0.13664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267658" y="219455"/>
          <a:ext cx="848563" cy="2048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17956.29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03D-E0B8-4CC5-A8DD-FE33E14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SBI</cp:lastModifiedBy>
  <cp:revision>67</cp:revision>
  <cp:lastPrinted>2020-10-06T12:27:00Z</cp:lastPrinted>
  <dcterms:created xsi:type="dcterms:W3CDTF">2019-06-03T12:16:00Z</dcterms:created>
  <dcterms:modified xsi:type="dcterms:W3CDTF">2020-10-06T12:27:00Z</dcterms:modified>
</cp:coreProperties>
</file>